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6B2D" w14:textId="19390A90" w:rsidR="00D57EA8" w:rsidRPr="009C7697" w:rsidRDefault="0035095C" w:rsidP="00D57EA8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2019</w:t>
      </w:r>
      <w:r w:rsidR="00D57EA8" w:rsidRPr="009C7697">
        <w:rPr>
          <w:b/>
          <w:sz w:val="20"/>
          <w:szCs w:val="20"/>
        </w:rPr>
        <w:t xml:space="preserve"> </w:t>
      </w:r>
      <w:r w:rsidR="00542096" w:rsidRPr="009C7697">
        <w:rPr>
          <w:b/>
          <w:sz w:val="20"/>
          <w:szCs w:val="20"/>
        </w:rPr>
        <w:t xml:space="preserve">Coldstream Hills </w:t>
      </w:r>
      <w:r w:rsidR="00D57EA8" w:rsidRPr="009C7697">
        <w:rPr>
          <w:b/>
          <w:sz w:val="20"/>
          <w:szCs w:val="20"/>
        </w:rPr>
        <w:t>Reserve Pinot Noir</w:t>
      </w:r>
    </w:p>
    <w:p w14:paraId="724C6B2E" w14:textId="77777777" w:rsidR="00D57EA8" w:rsidRPr="009C7697" w:rsidRDefault="00D57EA8" w:rsidP="00D57EA8">
      <w:pPr>
        <w:rPr>
          <w:sz w:val="20"/>
          <w:szCs w:val="20"/>
        </w:rPr>
      </w:pPr>
      <w:r w:rsidRPr="009C7697">
        <w:rPr>
          <w:sz w:val="20"/>
          <w:szCs w:val="20"/>
        </w:rPr>
        <w:t>Coldstream Hills was established in 1985 by James and Suzanne Halliday and has since grown to become one of Australia's leading and most awarded small wineries.</w:t>
      </w:r>
    </w:p>
    <w:p w14:paraId="724C6B2F" w14:textId="77777777" w:rsidR="00D57EA8" w:rsidRPr="009C7697" w:rsidRDefault="00D57EA8" w:rsidP="00D57EA8">
      <w:pPr>
        <w:rPr>
          <w:sz w:val="20"/>
          <w:szCs w:val="20"/>
        </w:rPr>
      </w:pPr>
      <w:r w:rsidRPr="009C7697">
        <w:rPr>
          <w:sz w:val="20"/>
          <w:szCs w:val="20"/>
        </w:rPr>
        <w:t>The Reserve selection begins in the vineyard, invariably anchored on the low yielding Amphitheatre A Block - the steep north facing slope planted below the winery in 1985.</w:t>
      </w:r>
    </w:p>
    <w:p w14:paraId="724C6B30" w14:textId="77777777" w:rsidR="00D57EA8" w:rsidRPr="009C7697" w:rsidRDefault="00D57EA8" w:rsidP="00D57EA8">
      <w:pPr>
        <w:rPr>
          <w:sz w:val="20"/>
          <w:szCs w:val="20"/>
        </w:rPr>
      </w:pPr>
      <w:r w:rsidRPr="009C7697">
        <w:rPr>
          <w:sz w:val="20"/>
          <w:szCs w:val="20"/>
        </w:rPr>
        <w:t>Sourced from handpicked fruit from the Coldstream Hills Estate Blocks, the fruit was fermented tr</w:t>
      </w:r>
      <w:r w:rsidR="005E32D5" w:rsidRPr="009C7697">
        <w:rPr>
          <w:sz w:val="20"/>
          <w:szCs w:val="20"/>
        </w:rPr>
        <w:t>aditionally in small</w:t>
      </w:r>
      <w:r w:rsidRPr="009C7697">
        <w:rPr>
          <w:sz w:val="20"/>
          <w:szCs w:val="20"/>
        </w:rPr>
        <w:t xml:space="preserve"> open fermenters. Whole bunches were used in the fermenters to add further complexity and structure.</w:t>
      </w:r>
    </w:p>
    <w:p w14:paraId="724C6B31" w14:textId="5066BC82" w:rsidR="00B36E00" w:rsidRPr="009C7697" w:rsidRDefault="005964AD" w:rsidP="00B36E00">
      <w:pPr>
        <w:rPr>
          <w:sz w:val="20"/>
          <w:szCs w:val="20"/>
        </w:rPr>
      </w:pPr>
      <w:r>
        <w:rPr>
          <w:b/>
          <w:sz w:val="20"/>
          <w:szCs w:val="20"/>
        </w:rPr>
        <w:t>Block</w:t>
      </w:r>
      <w:r w:rsidR="00B36E00" w:rsidRPr="009C7697">
        <w:rPr>
          <w:sz w:val="20"/>
          <w:szCs w:val="20"/>
        </w:rPr>
        <w:t>: Colds</w:t>
      </w:r>
      <w:r w:rsidR="0035095C">
        <w:rPr>
          <w:sz w:val="20"/>
          <w:szCs w:val="20"/>
        </w:rPr>
        <w:t xml:space="preserve">tream G </w:t>
      </w:r>
    </w:p>
    <w:p w14:paraId="724C6B32" w14:textId="77777777" w:rsidR="00B36E00" w:rsidRPr="009C7697" w:rsidRDefault="00D152FF" w:rsidP="00B36E00">
      <w:pPr>
        <w:rPr>
          <w:sz w:val="20"/>
          <w:szCs w:val="20"/>
        </w:rPr>
      </w:pPr>
      <w:r w:rsidRPr="009C7697">
        <w:rPr>
          <w:b/>
          <w:sz w:val="20"/>
          <w:szCs w:val="20"/>
        </w:rPr>
        <w:t>Clone</w:t>
      </w:r>
      <w:r w:rsidR="00B36E00" w:rsidRPr="009C7697">
        <w:rPr>
          <w:sz w:val="20"/>
          <w:szCs w:val="20"/>
        </w:rPr>
        <w:t>:</w:t>
      </w:r>
      <w:r w:rsidRPr="009C7697">
        <w:rPr>
          <w:sz w:val="20"/>
          <w:szCs w:val="20"/>
        </w:rPr>
        <w:t xml:space="preserve"> </w:t>
      </w:r>
      <w:r w:rsidR="00B36E00" w:rsidRPr="009C7697">
        <w:rPr>
          <w:sz w:val="20"/>
          <w:szCs w:val="20"/>
        </w:rPr>
        <w:t>MV6</w:t>
      </w:r>
    </w:p>
    <w:p w14:paraId="724C6B33" w14:textId="77777777" w:rsidR="00B36E00" w:rsidRPr="009C7697" w:rsidRDefault="00B36E00" w:rsidP="00B36E00">
      <w:pPr>
        <w:rPr>
          <w:sz w:val="20"/>
          <w:szCs w:val="20"/>
        </w:rPr>
      </w:pPr>
      <w:r w:rsidRPr="009C7697">
        <w:rPr>
          <w:b/>
          <w:sz w:val="20"/>
          <w:szCs w:val="20"/>
        </w:rPr>
        <w:t>Planted</w:t>
      </w:r>
      <w:r w:rsidRPr="009C7697">
        <w:rPr>
          <w:sz w:val="20"/>
          <w:szCs w:val="20"/>
        </w:rPr>
        <w:t>: 1985 – 1988</w:t>
      </w:r>
    </w:p>
    <w:p w14:paraId="724C6B34" w14:textId="77777777" w:rsidR="00B36E00" w:rsidRPr="009C7697" w:rsidRDefault="00B36E00" w:rsidP="00B36E00">
      <w:pPr>
        <w:rPr>
          <w:sz w:val="20"/>
          <w:szCs w:val="20"/>
        </w:rPr>
      </w:pPr>
      <w:r w:rsidRPr="009C7697">
        <w:rPr>
          <w:b/>
          <w:sz w:val="20"/>
          <w:szCs w:val="20"/>
        </w:rPr>
        <w:t>Soil</w:t>
      </w:r>
      <w:r w:rsidRPr="009C7697">
        <w:rPr>
          <w:sz w:val="20"/>
          <w:szCs w:val="20"/>
        </w:rPr>
        <w:t>: Grey clay-loam</w:t>
      </w:r>
    </w:p>
    <w:p w14:paraId="724C6B35" w14:textId="77777777" w:rsidR="00D57EA8" w:rsidRPr="009C7697" w:rsidRDefault="00D57EA8" w:rsidP="00D57EA8">
      <w:pPr>
        <w:rPr>
          <w:b/>
          <w:sz w:val="20"/>
          <w:szCs w:val="20"/>
        </w:rPr>
      </w:pPr>
      <w:r w:rsidRPr="009C7697">
        <w:rPr>
          <w:b/>
          <w:sz w:val="20"/>
          <w:szCs w:val="20"/>
        </w:rPr>
        <w:t>Winemaker Comments Andrew Fleming</w:t>
      </w:r>
    </w:p>
    <w:p w14:paraId="2FEFBDA6" w14:textId="05AC610A" w:rsidR="0035095C" w:rsidRPr="0035095C" w:rsidRDefault="00D57EA8" w:rsidP="0035095C">
      <w:pPr>
        <w:rPr>
          <w:rFonts w:eastAsiaTheme="minorHAnsi" w:cstheme="minorHAnsi"/>
          <w:sz w:val="20"/>
          <w:szCs w:val="20"/>
          <w:lang w:eastAsia="en-US"/>
        </w:rPr>
      </w:pPr>
      <w:r w:rsidRPr="009C7697">
        <w:rPr>
          <w:b/>
          <w:sz w:val="20"/>
          <w:szCs w:val="20"/>
        </w:rPr>
        <w:t>Vintage conditions</w:t>
      </w:r>
      <w:r w:rsidRPr="009C7697">
        <w:rPr>
          <w:sz w:val="20"/>
          <w:szCs w:val="20"/>
        </w:rPr>
        <w:t>:</w:t>
      </w:r>
      <w:r w:rsidR="0035095C" w:rsidRPr="0035095C">
        <w:rPr>
          <w:sz w:val="20"/>
          <w:szCs w:val="20"/>
        </w:rPr>
        <w:t xml:space="preserve"> </w:t>
      </w:r>
      <w:r w:rsidR="0035095C" w:rsidRPr="0035095C">
        <w:rPr>
          <w:rFonts w:eastAsiaTheme="minorHAnsi" w:cstheme="minorHAnsi"/>
          <w:sz w:val="20"/>
          <w:szCs w:val="20"/>
          <w:lang w:eastAsia="en-US"/>
        </w:rPr>
        <w:t>A mild Spring, followed by a warm and very dry ripening period led to a heightened onset of vintage. Despite a compressed harvest period, Pinot Noir held up well producing wines of flavour, texture and depth.</w:t>
      </w:r>
    </w:p>
    <w:p w14:paraId="42F4F9BE" w14:textId="77777777" w:rsidR="005964AD" w:rsidRDefault="005964AD" w:rsidP="00D57EA8">
      <w:pPr>
        <w:rPr>
          <w:sz w:val="20"/>
          <w:szCs w:val="20"/>
        </w:rPr>
      </w:pPr>
    </w:p>
    <w:p w14:paraId="724C6B3A" w14:textId="569C3DA0" w:rsidR="00D57EA8" w:rsidRPr="009C7697" w:rsidRDefault="00D57EA8" w:rsidP="00D57EA8">
      <w:pPr>
        <w:rPr>
          <w:b/>
          <w:sz w:val="20"/>
          <w:szCs w:val="20"/>
        </w:rPr>
      </w:pPr>
      <w:r w:rsidRPr="009C7697">
        <w:rPr>
          <w:b/>
          <w:sz w:val="20"/>
          <w:szCs w:val="20"/>
        </w:rPr>
        <w:t>Technical Analysis</w:t>
      </w:r>
    </w:p>
    <w:p w14:paraId="724C6B3B" w14:textId="23BB2C76" w:rsidR="00051392" w:rsidRPr="009C7697" w:rsidRDefault="00051392" w:rsidP="00051392">
      <w:pPr>
        <w:rPr>
          <w:sz w:val="20"/>
          <w:szCs w:val="20"/>
        </w:rPr>
      </w:pPr>
      <w:r w:rsidRPr="009C7697">
        <w:rPr>
          <w:sz w:val="20"/>
          <w:szCs w:val="20"/>
        </w:rPr>
        <w:t>Harvest date:</w:t>
      </w:r>
      <w:r w:rsidR="00542096" w:rsidRPr="009C7697">
        <w:rPr>
          <w:sz w:val="20"/>
          <w:szCs w:val="20"/>
        </w:rPr>
        <w:t xml:space="preserve"> </w:t>
      </w:r>
      <w:r w:rsidR="0035095C">
        <w:rPr>
          <w:sz w:val="20"/>
          <w:szCs w:val="20"/>
        </w:rPr>
        <w:t>27</w:t>
      </w:r>
      <w:r w:rsidR="00ED7EC9" w:rsidRPr="00ED7EC9">
        <w:rPr>
          <w:sz w:val="20"/>
          <w:szCs w:val="20"/>
          <w:vertAlign w:val="superscript"/>
        </w:rPr>
        <w:t>th</w:t>
      </w:r>
      <w:r w:rsidR="0035095C">
        <w:rPr>
          <w:sz w:val="20"/>
          <w:szCs w:val="20"/>
        </w:rPr>
        <w:t xml:space="preserve"> February 2019</w:t>
      </w:r>
    </w:p>
    <w:p w14:paraId="724C6B3C" w14:textId="4A58265A" w:rsidR="00D57EA8" w:rsidRPr="009C7697" w:rsidRDefault="0035095C" w:rsidP="00D57EA8">
      <w:pPr>
        <w:rPr>
          <w:sz w:val="20"/>
          <w:szCs w:val="20"/>
        </w:rPr>
      </w:pPr>
      <w:r>
        <w:rPr>
          <w:sz w:val="20"/>
          <w:szCs w:val="20"/>
        </w:rPr>
        <w:t>pH 3.36</w:t>
      </w:r>
    </w:p>
    <w:p w14:paraId="724C6B3D" w14:textId="7762B77B" w:rsidR="00D57EA8" w:rsidRPr="009C7697" w:rsidRDefault="0035095C" w:rsidP="00D57EA8">
      <w:pPr>
        <w:rPr>
          <w:sz w:val="20"/>
          <w:szCs w:val="20"/>
        </w:rPr>
      </w:pPr>
      <w:r>
        <w:rPr>
          <w:sz w:val="20"/>
          <w:szCs w:val="20"/>
        </w:rPr>
        <w:t>Acidity 6.2</w:t>
      </w:r>
      <w:r w:rsidR="00D57EA8" w:rsidRPr="009C7697">
        <w:rPr>
          <w:sz w:val="20"/>
          <w:szCs w:val="20"/>
        </w:rPr>
        <w:t>g/L</w:t>
      </w:r>
    </w:p>
    <w:p w14:paraId="724C6B3E" w14:textId="1E2D28FB" w:rsidR="00D57EA8" w:rsidRPr="009C7697" w:rsidRDefault="00BC70F2" w:rsidP="00D57EA8">
      <w:pPr>
        <w:rPr>
          <w:sz w:val="20"/>
          <w:szCs w:val="20"/>
        </w:rPr>
      </w:pPr>
      <w:r w:rsidRPr="009C7697">
        <w:rPr>
          <w:sz w:val="20"/>
          <w:szCs w:val="20"/>
        </w:rPr>
        <w:t xml:space="preserve">Alcohol </w:t>
      </w:r>
      <w:r w:rsidR="0035095C">
        <w:rPr>
          <w:sz w:val="20"/>
          <w:szCs w:val="20"/>
        </w:rPr>
        <w:t>13.5</w:t>
      </w:r>
      <w:r w:rsidR="00D57EA8" w:rsidRPr="009C7697">
        <w:rPr>
          <w:sz w:val="20"/>
          <w:szCs w:val="20"/>
        </w:rPr>
        <w:t>%</w:t>
      </w:r>
    </w:p>
    <w:p w14:paraId="724C6B3F" w14:textId="693B1604" w:rsidR="00D57EA8" w:rsidRPr="009C7697" w:rsidRDefault="0035095C" w:rsidP="00D57EA8">
      <w:pPr>
        <w:rPr>
          <w:sz w:val="20"/>
          <w:szCs w:val="20"/>
        </w:rPr>
      </w:pPr>
      <w:r>
        <w:rPr>
          <w:sz w:val="20"/>
          <w:szCs w:val="20"/>
        </w:rPr>
        <w:t>Residual Sugar 0.6</w:t>
      </w:r>
      <w:r w:rsidR="00D57EA8" w:rsidRPr="009C7697">
        <w:rPr>
          <w:sz w:val="20"/>
          <w:szCs w:val="20"/>
        </w:rPr>
        <w:t>g/L</w:t>
      </w:r>
    </w:p>
    <w:p w14:paraId="724C6B40" w14:textId="2CCB0421" w:rsidR="00D57EA8" w:rsidRPr="009C7697" w:rsidRDefault="00D57EA8" w:rsidP="00D57EA8">
      <w:pPr>
        <w:rPr>
          <w:sz w:val="20"/>
          <w:szCs w:val="20"/>
        </w:rPr>
      </w:pPr>
      <w:r w:rsidRPr="009C7697">
        <w:rPr>
          <w:sz w:val="20"/>
          <w:szCs w:val="20"/>
        </w:rPr>
        <w:t xml:space="preserve">Bottling Date </w:t>
      </w:r>
      <w:r w:rsidR="0035095C">
        <w:rPr>
          <w:sz w:val="20"/>
          <w:szCs w:val="20"/>
        </w:rPr>
        <w:t>February 2020</w:t>
      </w:r>
    </w:p>
    <w:p w14:paraId="724C6B41" w14:textId="2B3BF1E2" w:rsidR="00D57EA8" w:rsidRPr="009C7697" w:rsidRDefault="0035095C" w:rsidP="00D57EA8">
      <w:pPr>
        <w:rPr>
          <w:sz w:val="20"/>
          <w:szCs w:val="20"/>
        </w:rPr>
      </w:pPr>
      <w:r>
        <w:rPr>
          <w:sz w:val="20"/>
          <w:szCs w:val="20"/>
        </w:rPr>
        <w:t>Peak Drinking Now to 2032</w:t>
      </w:r>
    </w:p>
    <w:p w14:paraId="724C6B42" w14:textId="77777777" w:rsidR="00D57EA8" w:rsidRPr="009C7697" w:rsidRDefault="00D57EA8" w:rsidP="00D57EA8">
      <w:pPr>
        <w:rPr>
          <w:b/>
          <w:sz w:val="20"/>
          <w:szCs w:val="20"/>
        </w:rPr>
      </w:pPr>
      <w:r w:rsidRPr="009C7697">
        <w:rPr>
          <w:b/>
          <w:sz w:val="20"/>
          <w:szCs w:val="20"/>
        </w:rPr>
        <w:t>Maturation</w:t>
      </w:r>
    </w:p>
    <w:p w14:paraId="724C6B43" w14:textId="20F587A7" w:rsidR="00D57EA8" w:rsidRPr="009C7697" w:rsidRDefault="00D57EA8" w:rsidP="00D57EA8">
      <w:pPr>
        <w:rPr>
          <w:sz w:val="20"/>
          <w:szCs w:val="20"/>
        </w:rPr>
      </w:pPr>
      <w:r w:rsidRPr="009C7697">
        <w:rPr>
          <w:sz w:val="20"/>
          <w:szCs w:val="20"/>
        </w:rPr>
        <w:t xml:space="preserve">This wine was matured for </w:t>
      </w:r>
      <w:r w:rsidR="0035095C">
        <w:rPr>
          <w:sz w:val="20"/>
          <w:szCs w:val="20"/>
        </w:rPr>
        <w:t>eleven</w:t>
      </w:r>
      <w:r w:rsidRPr="009C7697">
        <w:rPr>
          <w:sz w:val="20"/>
          <w:szCs w:val="20"/>
        </w:rPr>
        <w:t xml:space="preserve"> months in new (</w:t>
      </w:r>
      <w:r w:rsidR="0035095C">
        <w:rPr>
          <w:sz w:val="20"/>
          <w:szCs w:val="20"/>
        </w:rPr>
        <w:t>30</w:t>
      </w:r>
      <w:r w:rsidRPr="009C7697">
        <w:rPr>
          <w:sz w:val="20"/>
          <w:szCs w:val="20"/>
        </w:rPr>
        <w:t>%)</w:t>
      </w:r>
      <w:r w:rsidR="00912AAD" w:rsidRPr="009C7697">
        <w:rPr>
          <w:sz w:val="20"/>
          <w:szCs w:val="20"/>
        </w:rPr>
        <w:t xml:space="preserve"> </w:t>
      </w:r>
      <w:r w:rsidRPr="009C7697">
        <w:rPr>
          <w:sz w:val="20"/>
          <w:szCs w:val="20"/>
        </w:rPr>
        <w:t xml:space="preserve">and seasoned </w:t>
      </w:r>
      <w:r w:rsidR="00325EC6">
        <w:rPr>
          <w:sz w:val="20"/>
          <w:szCs w:val="20"/>
        </w:rPr>
        <w:t>French oak barrels</w:t>
      </w:r>
      <w:r w:rsidRPr="009C7697">
        <w:rPr>
          <w:sz w:val="20"/>
          <w:szCs w:val="20"/>
        </w:rPr>
        <w:t>.</w:t>
      </w:r>
    </w:p>
    <w:p w14:paraId="724C6B44" w14:textId="01D619B7" w:rsidR="00D57EA8" w:rsidRPr="009C7697" w:rsidRDefault="00D57EA8" w:rsidP="00D57EA8">
      <w:pPr>
        <w:rPr>
          <w:sz w:val="20"/>
          <w:szCs w:val="20"/>
        </w:rPr>
      </w:pPr>
      <w:r w:rsidRPr="009C7697">
        <w:rPr>
          <w:b/>
          <w:sz w:val="20"/>
          <w:szCs w:val="20"/>
        </w:rPr>
        <w:t xml:space="preserve">Colour </w:t>
      </w:r>
      <w:r w:rsidRPr="009C7697">
        <w:rPr>
          <w:sz w:val="20"/>
          <w:szCs w:val="20"/>
        </w:rPr>
        <w:t xml:space="preserve">Medium </w:t>
      </w:r>
      <w:r w:rsidR="00A3571E">
        <w:rPr>
          <w:sz w:val="20"/>
          <w:szCs w:val="20"/>
        </w:rPr>
        <w:t>crimson red</w:t>
      </w:r>
    </w:p>
    <w:p w14:paraId="724C6B45" w14:textId="77777777" w:rsidR="008B416A" w:rsidRPr="009C7697" w:rsidRDefault="00D57EA8" w:rsidP="00D57EA8">
      <w:pPr>
        <w:rPr>
          <w:b/>
          <w:sz w:val="20"/>
          <w:szCs w:val="20"/>
        </w:rPr>
      </w:pPr>
      <w:r w:rsidRPr="009C7697">
        <w:rPr>
          <w:b/>
          <w:sz w:val="20"/>
          <w:szCs w:val="20"/>
        </w:rPr>
        <w:t xml:space="preserve">Bouquet </w:t>
      </w:r>
    </w:p>
    <w:p w14:paraId="165D87A3" w14:textId="56FC65C9" w:rsidR="00A3571E" w:rsidRPr="009C7697" w:rsidRDefault="00A3571E" w:rsidP="00D57EA8">
      <w:pPr>
        <w:rPr>
          <w:sz w:val="20"/>
          <w:szCs w:val="20"/>
        </w:rPr>
      </w:pPr>
      <w:r>
        <w:rPr>
          <w:sz w:val="20"/>
          <w:szCs w:val="20"/>
        </w:rPr>
        <w:t>Perfumed and ethereal, vibrant characters of dark cherry and strawberry are further enhanced with savoury whole bunch spice, earthy minerality and finely balanced French oak.</w:t>
      </w:r>
    </w:p>
    <w:p w14:paraId="724C6B47" w14:textId="089FA68A" w:rsidR="009C7697" w:rsidRDefault="009C7697" w:rsidP="00D57EA8">
      <w:pPr>
        <w:rPr>
          <w:b/>
          <w:sz w:val="20"/>
          <w:szCs w:val="20"/>
        </w:rPr>
      </w:pPr>
    </w:p>
    <w:p w14:paraId="724C6B48" w14:textId="77777777" w:rsidR="009C7697" w:rsidRDefault="009C7697" w:rsidP="00D57EA8">
      <w:pPr>
        <w:rPr>
          <w:b/>
          <w:sz w:val="20"/>
          <w:szCs w:val="20"/>
        </w:rPr>
      </w:pPr>
    </w:p>
    <w:p w14:paraId="724C6B49" w14:textId="77777777" w:rsidR="009C7697" w:rsidRDefault="009C7697" w:rsidP="00D57EA8">
      <w:pPr>
        <w:rPr>
          <w:b/>
          <w:sz w:val="20"/>
          <w:szCs w:val="20"/>
        </w:rPr>
      </w:pPr>
    </w:p>
    <w:p w14:paraId="6C25CA9D" w14:textId="77777777" w:rsidR="00310B8B" w:rsidRDefault="008D4560" w:rsidP="00D57EA8">
      <w:pPr>
        <w:rPr>
          <w:sz w:val="20"/>
          <w:szCs w:val="20"/>
        </w:rPr>
      </w:pPr>
      <w:r w:rsidRPr="009C7697">
        <w:rPr>
          <w:b/>
          <w:sz w:val="20"/>
          <w:szCs w:val="20"/>
        </w:rPr>
        <w:lastRenderedPageBreak/>
        <w:t xml:space="preserve"> </w:t>
      </w:r>
      <w:r w:rsidR="00D57EA8" w:rsidRPr="009C7697">
        <w:rPr>
          <w:b/>
          <w:sz w:val="20"/>
          <w:szCs w:val="20"/>
        </w:rPr>
        <w:t xml:space="preserve">Palate </w:t>
      </w:r>
    </w:p>
    <w:p w14:paraId="2F93F623" w14:textId="56A3FCCB" w:rsidR="00C06C79" w:rsidRPr="009C7697" w:rsidRDefault="00C06C79" w:rsidP="00D57EA8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Medium-bodied in style, the palate is supple and layered yet finishes with characteristically chalky fine-grained tannins. Attractive dark cherry notes are interwoven with </w:t>
      </w:r>
      <w:r w:rsidR="00EA5470">
        <w:rPr>
          <w:sz w:val="20"/>
          <w:szCs w:val="20"/>
        </w:rPr>
        <w:t>seamless French oak, graphite-like mineral and whole bunch spice. Precise and detailed, the wine displays the hallmarks of the Estate Vineyard and will dutifully reward cellaring.</w:t>
      </w:r>
    </w:p>
    <w:p w14:paraId="724C6B4C" w14:textId="77777777" w:rsidR="00DF44AA" w:rsidRPr="009C7697" w:rsidRDefault="00DF44AA" w:rsidP="00D57EA8">
      <w:pPr>
        <w:rPr>
          <w:sz w:val="20"/>
          <w:szCs w:val="20"/>
        </w:rPr>
      </w:pPr>
    </w:p>
    <w:sectPr w:rsidR="00DF44AA" w:rsidRPr="009C7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A8"/>
    <w:rsid w:val="00051392"/>
    <w:rsid w:val="001E5384"/>
    <w:rsid w:val="001E6B29"/>
    <w:rsid w:val="002A7622"/>
    <w:rsid w:val="002B566D"/>
    <w:rsid w:val="002D4C94"/>
    <w:rsid w:val="0030266E"/>
    <w:rsid w:val="00310B8B"/>
    <w:rsid w:val="00325EC6"/>
    <w:rsid w:val="0035095C"/>
    <w:rsid w:val="00422322"/>
    <w:rsid w:val="00494602"/>
    <w:rsid w:val="00542096"/>
    <w:rsid w:val="005964AD"/>
    <w:rsid w:val="005E32D5"/>
    <w:rsid w:val="007224F5"/>
    <w:rsid w:val="00722677"/>
    <w:rsid w:val="00834F2E"/>
    <w:rsid w:val="008B416A"/>
    <w:rsid w:val="008D4560"/>
    <w:rsid w:val="00912AAD"/>
    <w:rsid w:val="009C7697"/>
    <w:rsid w:val="00A21CC7"/>
    <w:rsid w:val="00A3571E"/>
    <w:rsid w:val="00B36E00"/>
    <w:rsid w:val="00B91294"/>
    <w:rsid w:val="00B9308A"/>
    <w:rsid w:val="00BC70F2"/>
    <w:rsid w:val="00C06C79"/>
    <w:rsid w:val="00D152FF"/>
    <w:rsid w:val="00D57EA8"/>
    <w:rsid w:val="00D912D8"/>
    <w:rsid w:val="00DB6E59"/>
    <w:rsid w:val="00DF44AA"/>
    <w:rsid w:val="00E908AB"/>
    <w:rsid w:val="00EA5470"/>
    <w:rsid w:val="00ED7EC9"/>
    <w:rsid w:val="00F178D8"/>
    <w:rsid w:val="00F25686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6B2D"/>
  <w15:chartTrackingRefBased/>
  <w15:docId w15:val="{9552FDE3-8A8E-435E-A081-D54400C1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A88C67A7E5A4B8F530929D15B9199" ma:contentTypeVersion="13" ma:contentTypeDescription="Create a new document." ma:contentTypeScope="" ma:versionID="8e79372e3b80aa21b0c01f2d07bb934c">
  <xsd:schema xmlns:xsd="http://www.w3.org/2001/XMLSchema" xmlns:xs="http://www.w3.org/2001/XMLSchema" xmlns:p="http://schemas.microsoft.com/office/2006/metadata/properties" xmlns:ns3="c693e949-0257-406d-82c9-5c48b73d2cb8" xmlns:ns4="d26c1024-5c16-4aaa-9b7b-3b406e2893f0" targetNamespace="http://schemas.microsoft.com/office/2006/metadata/properties" ma:root="true" ma:fieldsID="8f83b7873dc0ad287deef5153ada3c67" ns3:_="" ns4:_="">
    <xsd:import namespace="c693e949-0257-406d-82c9-5c48b73d2cb8"/>
    <xsd:import namespace="d26c1024-5c16-4aaa-9b7b-3b406e2893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3e949-0257-406d-82c9-5c48b73d2c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1024-5c16-4aaa-9b7b-3b406e289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8A033-E4B2-45FB-81B3-1A984BF4B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32A53-35AF-4FCC-BF1C-EBB3AA622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3e949-0257-406d-82c9-5c48b73d2cb8"/>
    <ds:schemaRef ds:uri="d26c1024-5c16-4aaa-9b7b-3b406e289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EFCD2-FD65-4D3D-B610-DD8A99063453}">
  <ds:schemaRefs>
    <ds:schemaRef ds:uri="http://purl.org/dc/elements/1.1/"/>
    <ds:schemaRef ds:uri="http://www.w3.org/XML/1998/namespace"/>
    <ds:schemaRef ds:uri="http://schemas.openxmlformats.org/package/2006/metadata/core-properties"/>
    <ds:schemaRef ds:uri="c693e949-0257-406d-82c9-5c48b73d2cb8"/>
    <ds:schemaRef ds:uri="http://schemas.microsoft.com/office/infopath/2007/PartnerControls"/>
    <ds:schemaRef ds:uri="d26c1024-5c16-4aaa-9b7b-3b406e2893f0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Treasury Wine Estates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Andrew (ColdStream)</dc:creator>
  <cp:keywords/>
  <dc:description/>
  <cp:lastModifiedBy>Fleming, Andrew</cp:lastModifiedBy>
  <cp:revision>6</cp:revision>
  <dcterms:created xsi:type="dcterms:W3CDTF">2020-07-15T05:38:00Z</dcterms:created>
  <dcterms:modified xsi:type="dcterms:W3CDTF">2020-07-15T06:15:00Z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0x010100EB7A88C67A7E5A4B8F530929D15B9199</vt:lpwstr>
  </property>
</Properties>
</file>